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A34616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EA61AA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5670B9" w:rsidRPr="00D6595E" w:rsidRDefault="00366A55" w:rsidP="005670B9">
      <w:pPr>
        <w:rPr>
          <w:rFonts w:ascii="ＭＳ 明朝" w:hAnsi="ＭＳ 明朝"/>
        </w:rPr>
      </w:pPr>
      <w:bookmarkStart w:id="0" w:name="_GoBack"/>
      <w:r w:rsidRPr="00D6595E">
        <w:rPr>
          <w:rFonts w:ascii="ＭＳ 明朝" w:hAnsi="ＭＳ 明朝" w:hint="eastAsia"/>
        </w:rPr>
        <w:t>附則　この要領は令和</w:t>
      </w:r>
      <w:r w:rsidR="00D6595E" w:rsidRPr="00D6595E">
        <w:rPr>
          <w:rFonts w:ascii="ＭＳ 明朝" w:hAnsi="ＭＳ 明朝" w:hint="eastAsia"/>
        </w:rPr>
        <w:t>３</w:t>
      </w:r>
      <w:r w:rsidRPr="00D6595E">
        <w:rPr>
          <w:rFonts w:ascii="ＭＳ 明朝" w:hAnsi="ＭＳ 明朝" w:hint="eastAsia"/>
        </w:rPr>
        <w:t>年</w:t>
      </w:r>
      <w:r w:rsidR="00D6595E" w:rsidRPr="00D6595E">
        <w:rPr>
          <w:rFonts w:ascii="ＭＳ 明朝" w:hAnsi="ＭＳ 明朝" w:hint="eastAsia"/>
        </w:rPr>
        <w:t>４</w:t>
      </w:r>
      <w:r w:rsidRPr="00D6595E">
        <w:rPr>
          <w:rFonts w:ascii="ＭＳ 明朝" w:hAnsi="ＭＳ 明朝" w:hint="eastAsia"/>
        </w:rPr>
        <w:t>月</w:t>
      </w:r>
      <w:r w:rsidR="00D6595E" w:rsidRPr="00D6595E">
        <w:rPr>
          <w:rFonts w:ascii="ＭＳ 明朝" w:hAnsi="ＭＳ 明朝" w:hint="eastAsia"/>
        </w:rPr>
        <w:t>１</w:t>
      </w:r>
      <w:r w:rsidR="005670B9" w:rsidRPr="00D6595E">
        <w:rPr>
          <w:rFonts w:ascii="ＭＳ 明朝" w:hAnsi="ＭＳ 明朝" w:hint="eastAsia"/>
        </w:rPr>
        <w:t>日から施行する。</w:t>
      </w:r>
    </w:p>
    <w:bookmarkEnd w:id="0"/>
    <w:p w:rsidR="00A34616" w:rsidRPr="006A0312" w:rsidRDefault="00A34616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ED4815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 w:rsidRPr="00ED4815">
        <w:rPr>
          <w:rFonts w:ascii="ＭＳ ゴシック" w:eastAsia="ＭＳ ゴシック" w:hAnsi="ＭＳ ゴシック" w:hint="eastAsia"/>
          <w:color w:val="000000"/>
          <w:lang w:eastAsia="zh-CN"/>
        </w:rPr>
        <w:t>令和</w:t>
      </w:r>
      <w:r w:rsidR="00A34616">
        <w:rPr>
          <w:rFonts w:ascii="ＭＳ ゴシック" w:eastAsia="ＭＳ ゴシック" w:hAnsi="ＭＳ ゴシック" w:hint="eastAsia"/>
          <w:color w:val="000000"/>
        </w:rPr>
        <w:t>４</w:t>
      </w:r>
      <w:r w:rsidRPr="00ED4815"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1276"/>
              <w:gridCol w:w="1430"/>
              <w:gridCol w:w="1495"/>
              <w:gridCol w:w="1495"/>
              <w:gridCol w:w="1496"/>
            </w:tblGrid>
            <w:tr w:rsidR="007E4394" w:rsidTr="005610A6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5610A6">
                  <w:pPr>
                    <w:pStyle w:val="ae"/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>３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236B51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令和</w:t>
      </w:r>
      <w:r w:rsidR="00A34616">
        <w:rPr>
          <w:rFonts w:ascii="ＭＳ 明朝" w:cs="ＭＳ 明朝" w:hint="eastAsia"/>
        </w:rPr>
        <w:t>４</w:t>
      </w:r>
      <w:r>
        <w:rPr>
          <w:rFonts w:ascii="ＭＳ 明朝" w:cs="ＭＳ 明朝" w:hint="eastAsia"/>
          <w:lang w:eastAsia="zh-CN"/>
        </w:rPr>
        <w:t>年</w:t>
      </w:r>
      <w:r w:rsidR="00D073CD" w:rsidRPr="00A06DCB">
        <w:rPr>
          <w:rFonts w:ascii="ＭＳ 明朝" w:cs="ＭＳ 明朝" w:hint="eastAsia"/>
          <w:lang w:eastAsia="zh-CN"/>
        </w:rPr>
        <w:t>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A34616">
        <w:rPr>
          <w:rFonts w:ascii="ＭＳ 明朝" w:cs="ＭＳ 明朝" w:hint="eastAsia"/>
        </w:rPr>
        <w:t>４</w:t>
      </w:r>
      <w:r w:rsidR="00236B51">
        <w:rPr>
          <w:rFonts w:ascii="ＭＳ 明朝" w:cs="ＭＳ 明朝" w:hint="eastAsia"/>
        </w:rPr>
        <w:t>年度次世代自動車関連産業参入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2" w:rsidRDefault="001649A2">
      <w:r>
        <w:separator/>
      </w:r>
    </w:p>
  </w:endnote>
  <w:endnote w:type="continuationSeparator" w:id="0">
    <w:p w:rsidR="001649A2" w:rsidRDefault="001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2" w:rsidRDefault="001649A2">
      <w:r>
        <w:separator/>
      </w:r>
    </w:p>
  </w:footnote>
  <w:footnote w:type="continuationSeparator" w:id="0">
    <w:p w:rsidR="001649A2" w:rsidRDefault="001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1F57B6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133D8"/>
    <w:rsid w:val="0035728D"/>
    <w:rsid w:val="00366A55"/>
    <w:rsid w:val="003A174D"/>
    <w:rsid w:val="00462722"/>
    <w:rsid w:val="004738F1"/>
    <w:rsid w:val="004C06CC"/>
    <w:rsid w:val="004D5122"/>
    <w:rsid w:val="004D7674"/>
    <w:rsid w:val="00520385"/>
    <w:rsid w:val="00537243"/>
    <w:rsid w:val="00540EA2"/>
    <w:rsid w:val="00553EA1"/>
    <w:rsid w:val="00554DEE"/>
    <w:rsid w:val="005610A6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A4229"/>
    <w:rsid w:val="007E4394"/>
    <w:rsid w:val="007F3E63"/>
    <w:rsid w:val="00806D44"/>
    <w:rsid w:val="008113CB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24D50"/>
    <w:rsid w:val="009348E7"/>
    <w:rsid w:val="00934B1E"/>
    <w:rsid w:val="009412B3"/>
    <w:rsid w:val="009D69C6"/>
    <w:rsid w:val="00A04304"/>
    <w:rsid w:val="00A14027"/>
    <w:rsid w:val="00A34616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27EF"/>
    <w:rsid w:val="00C14185"/>
    <w:rsid w:val="00C81E5A"/>
    <w:rsid w:val="00CA6D90"/>
    <w:rsid w:val="00CB2592"/>
    <w:rsid w:val="00CC53E1"/>
    <w:rsid w:val="00CD780B"/>
    <w:rsid w:val="00D06A6B"/>
    <w:rsid w:val="00D073CD"/>
    <w:rsid w:val="00D541B0"/>
    <w:rsid w:val="00D6595E"/>
    <w:rsid w:val="00DB489E"/>
    <w:rsid w:val="00DC63FB"/>
    <w:rsid w:val="00DD4C5E"/>
    <w:rsid w:val="00DE340B"/>
    <w:rsid w:val="00E14CE7"/>
    <w:rsid w:val="00E17227"/>
    <w:rsid w:val="00E563B4"/>
    <w:rsid w:val="00E73745"/>
    <w:rsid w:val="00E830D7"/>
    <w:rsid w:val="00EA61AA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EC38-C7E0-48C2-A3C2-FFC4F7FC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24</cp:revision>
  <cp:lastPrinted>2022-06-20T23:54:00Z</cp:lastPrinted>
  <dcterms:created xsi:type="dcterms:W3CDTF">2019-10-02T04:50:00Z</dcterms:created>
  <dcterms:modified xsi:type="dcterms:W3CDTF">2022-06-20T23:55:00Z</dcterms:modified>
</cp:coreProperties>
</file>